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7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0"/>
        <w:gridCol w:w="1176"/>
        <w:gridCol w:w="1254"/>
        <w:gridCol w:w="4143"/>
        <w:gridCol w:w="1073"/>
      </w:tblGrid>
      <w:tr w:rsidR="00440382" w:rsidRPr="00E9663C" w14:paraId="3D416853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205A4500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Genome</w:t>
            </w:r>
          </w:p>
        </w:tc>
        <w:tc>
          <w:tcPr>
            <w:tcW w:w="1176" w:type="dxa"/>
            <w:vAlign w:val="center"/>
          </w:tcPr>
          <w:p w14:paraId="4215E359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COG category</w:t>
            </w:r>
            <w:r w:rsidRPr="00E9663C">
              <w:rPr>
                <w:rFonts w:ascii="Times New Roman" w:hAnsi="Times New Roman"/>
                <w:b/>
                <w:sz w:val="24"/>
                <w:szCs w:val="24"/>
                <w:vertAlign w:val="superscript"/>
                <w:lang w:val="en-GB"/>
              </w:rPr>
              <w:t>a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5CBF98B5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COG ID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3D524D9E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Annotation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19787587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 xml:space="preserve">Present in </w:t>
            </w:r>
            <w:r w:rsidRPr="00E9663C">
              <w:rPr>
                <w:rFonts w:ascii="Times New Roman" w:hAnsi="Times New Roman"/>
                <w:b/>
                <w:i/>
                <w:iCs/>
                <w:sz w:val="24"/>
                <w:szCs w:val="24"/>
                <w:lang w:val="en-GB"/>
              </w:rPr>
              <w:t>D. dadantii</w:t>
            </w:r>
            <w:r w:rsidRPr="00E9663C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 xml:space="preserve"> 3937</w:t>
            </w:r>
          </w:p>
        </w:tc>
      </w:tr>
      <w:tr w:rsidR="00440382" w:rsidRPr="00E9663C" w14:paraId="1623ED69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114C1F68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IFB0417</w:t>
            </w:r>
          </w:p>
        </w:tc>
        <w:tc>
          <w:tcPr>
            <w:tcW w:w="1176" w:type="dxa"/>
            <w:vAlign w:val="center"/>
          </w:tcPr>
          <w:p w14:paraId="305D97C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L\LX</w:t>
            </w:r>
          </w:p>
        </w:tc>
        <w:tc>
          <w:tcPr>
            <w:tcW w:w="1254" w:type="dxa"/>
            <w:shd w:val="clear" w:color="auto" w:fill="auto"/>
            <w:noWrap/>
            <w:vAlign w:val="center"/>
          </w:tcPr>
          <w:p w14:paraId="11953DB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COG0582</w:t>
            </w:r>
          </w:p>
        </w:tc>
        <w:tc>
          <w:tcPr>
            <w:tcW w:w="4143" w:type="dxa"/>
            <w:shd w:val="clear" w:color="auto" w:fill="auto"/>
            <w:noWrap/>
            <w:vAlign w:val="center"/>
          </w:tcPr>
          <w:p w14:paraId="256E19D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Integrase</w:t>
            </w:r>
          </w:p>
        </w:tc>
        <w:tc>
          <w:tcPr>
            <w:tcW w:w="1073" w:type="dxa"/>
            <w:shd w:val="clear" w:color="auto" w:fill="auto"/>
            <w:noWrap/>
            <w:vAlign w:val="center"/>
          </w:tcPr>
          <w:p w14:paraId="0BE2C81E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0C84530F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7B5785B2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IFB0417</w:t>
            </w:r>
          </w:p>
        </w:tc>
        <w:tc>
          <w:tcPr>
            <w:tcW w:w="1176" w:type="dxa"/>
            <w:vAlign w:val="center"/>
          </w:tcPr>
          <w:p w14:paraId="67B0F27A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Q</w:t>
            </w:r>
          </w:p>
        </w:tc>
        <w:tc>
          <w:tcPr>
            <w:tcW w:w="1254" w:type="dxa"/>
            <w:shd w:val="clear" w:color="auto" w:fill="auto"/>
            <w:noWrap/>
            <w:vAlign w:val="center"/>
          </w:tcPr>
          <w:p w14:paraId="0A53130E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COG1020</w:t>
            </w:r>
          </w:p>
        </w:tc>
        <w:tc>
          <w:tcPr>
            <w:tcW w:w="4143" w:type="dxa"/>
            <w:shd w:val="clear" w:color="auto" w:fill="auto"/>
            <w:noWrap/>
            <w:vAlign w:val="center"/>
          </w:tcPr>
          <w:p w14:paraId="300EC6AB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Non-ribosomal peptide synthetase component F</w:t>
            </w:r>
          </w:p>
        </w:tc>
        <w:tc>
          <w:tcPr>
            <w:tcW w:w="1073" w:type="dxa"/>
            <w:shd w:val="clear" w:color="auto" w:fill="auto"/>
            <w:noWrap/>
            <w:vAlign w:val="center"/>
          </w:tcPr>
          <w:p w14:paraId="41E86C02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30641882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4B73211E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IFB0417</w:t>
            </w:r>
          </w:p>
        </w:tc>
        <w:tc>
          <w:tcPr>
            <w:tcW w:w="1176" w:type="dxa"/>
            <w:vAlign w:val="center"/>
          </w:tcPr>
          <w:p w14:paraId="1ACA5E5B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C\I</w:t>
            </w:r>
          </w:p>
        </w:tc>
        <w:tc>
          <w:tcPr>
            <w:tcW w:w="1254" w:type="dxa"/>
            <w:shd w:val="clear" w:color="auto" w:fill="auto"/>
            <w:noWrap/>
            <w:vAlign w:val="center"/>
          </w:tcPr>
          <w:p w14:paraId="60929675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COG1804</w:t>
            </w:r>
          </w:p>
        </w:tc>
        <w:tc>
          <w:tcPr>
            <w:tcW w:w="4143" w:type="dxa"/>
            <w:shd w:val="clear" w:color="auto" w:fill="auto"/>
            <w:noWrap/>
            <w:vAlign w:val="center"/>
          </w:tcPr>
          <w:p w14:paraId="72A2F8B1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Crotonobetainyl-CoA:carnitine CoA-transferase CaiB and related acyl-CoA transferases</w:t>
            </w:r>
          </w:p>
        </w:tc>
        <w:tc>
          <w:tcPr>
            <w:tcW w:w="1073" w:type="dxa"/>
            <w:shd w:val="clear" w:color="auto" w:fill="auto"/>
            <w:noWrap/>
            <w:vAlign w:val="center"/>
          </w:tcPr>
          <w:p w14:paraId="712B979B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4BC6DB1F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0B0D0F2B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IFB0417</w:t>
            </w:r>
          </w:p>
        </w:tc>
        <w:tc>
          <w:tcPr>
            <w:tcW w:w="1176" w:type="dxa"/>
            <w:vAlign w:val="center"/>
          </w:tcPr>
          <w:p w14:paraId="0F0B933B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R\X</w:t>
            </w:r>
          </w:p>
        </w:tc>
        <w:tc>
          <w:tcPr>
            <w:tcW w:w="1254" w:type="dxa"/>
            <w:shd w:val="clear" w:color="auto" w:fill="auto"/>
            <w:noWrap/>
            <w:vAlign w:val="center"/>
          </w:tcPr>
          <w:p w14:paraId="4A1BF129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COG5301</w:t>
            </w:r>
          </w:p>
        </w:tc>
        <w:tc>
          <w:tcPr>
            <w:tcW w:w="4143" w:type="dxa"/>
            <w:shd w:val="clear" w:color="auto" w:fill="auto"/>
            <w:noWrap/>
            <w:vAlign w:val="center"/>
          </w:tcPr>
          <w:p w14:paraId="2CFF8A9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Phage-related tail fibre protein</w:t>
            </w:r>
          </w:p>
        </w:tc>
        <w:tc>
          <w:tcPr>
            <w:tcW w:w="1073" w:type="dxa"/>
            <w:shd w:val="clear" w:color="auto" w:fill="auto"/>
            <w:noWrap/>
            <w:vAlign w:val="center"/>
          </w:tcPr>
          <w:p w14:paraId="62755EE8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4392CEB1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26D1233B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IFB0421</w:t>
            </w:r>
          </w:p>
        </w:tc>
        <w:tc>
          <w:tcPr>
            <w:tcW w:w="1176" w:type="dxa"/>
            <w:vAlign w:val="center"/>
          </w:tcPr>
          <w:p w14:paraId="404168A6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G</w:t>
            </w:r>
          </w:p>
        </w:tc>
        <w:tc>
          <w:tcPr>
            <w:tcW w:w="1254" w:type="dxa"/>
            <w:shd w:val="clear" w:color="auto" w:fill="auto"/>
            <w:noWrap/>
            <w:vAlign w:val="center"/>
          </w:tcPr>
          <w:p w14:paraId="28587675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COG2133</w:t>
            </w:r>
          </w:p>
        </w:tc>
        <w:tc>
          <w:tcPr>
            <w:tcW w:w="4143" w:type="dxa"/>
            <w:shd w:val="clear" w:color="auto" w:fill="auto"/>
            <w:noWrap/>
            <w:vAlign w:val="center"/>
          </w:tcPr>
          <w:p w14:paraId="64C52B49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Glucose/arabinose dehydrogenase, beta-propeller fold</w:t>
            </w:r>
          </w:p>
        </w:tc>
        <w:tc>
          <w:tcPr>
            <w:tcW w:w="1073" w:type="dxa"/>
            <w:shd w:val="clear" w:color="auto" w:fill="auto"/>
            <w:noWrap/>
            <w:vAlign w:val="center"/>
          </w:tcPr>
          <w:p w14:paraId="7B1A85FA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79E148DF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72103457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IFB0487</w:t>
            </w:r>
          </w:p>
        </w:tc>
        <w:tc>
          <w:tcPr>
            <w:tcW w:w="1176" w:type="dxa"/>
            <w:vAlign w:val="center"/>
          </w:tcPr>
          <w:p w14:paraId="72B4D7DA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I</w:t>
            </w:r>
          </w:p>
        </w:tc>
        <w:tc>
          <w:tcPr>
            <w:tcW w:w="1254" w:type="dxa"/>
            <w:shd w:val="clear" w:color="auto" w:fill="auto"/>
            <w:noWrap/>
            <w:vAlign w:val="center"/>
          </w:tcPr>
          <w:p w14:paraId="1EC9B5EA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COG0439</w:t>
            </w:r>
          </w:p>
        </w:tc>
        <w:tc>
          <w:tcPr>
            <w:tcW w:w="4143" w:type="dxa"/>
            <w:shd w:val="clear" w:color="auto" w:fill="auto"/>
            <w:noWrap/>
            <w:vAlign w:val="center"/>
          </w:tcPr>
          <w:p w14:paraId="3B54A541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Biotin carboxylase</w:t>
            </w:r>
          </w:p>
        </w:tc>
        <w:tc>
          <w:tcPr>
            <w:tcW w:w="1073" w:type="dxa"/>
            <w:shd w:val="clear" w:color="auto" w:fill="auto"/>
            <w:noWrap/>
            <w:vAlign w:val="center"/>
          </w:tcPr>
          <w:p w14:paraId="395480E3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54CED18F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52B58CF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IFB0487</w:t>
            </w:r>
          </w:p>
        </w:tc>
        <w:tc>
          <w:tcPr>
            <w:tcW w:w="1176" w:type="dxa"/>
            <w:vAlign w:val="center"/>
          </w:tcPr>
          <w:p w14:paraId="19EEE164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K</w:t>
            </w:r>
          </w:p>
        </w:tc>
        <w:tc>
          <w:tcPr>
            <w:tcW w:w="1254" w:type="dxa"/>
            <w:shd w:val="clear" w:color="auto" w:fill="auto"/>
            <w:noWrap/>
            <w:vAlign w:val="center"/>
          </w:tcPr>
          <w:p w14:paraId="7C496921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COG0583</w:t>
            </w:r>
          </w:p>
        </w:tc>
        <w:tc>
          <w:tcPr>
            <w:tcW w:w="4143" w:type="dxa"/>
            <w:shd w:val="clear" w:color="auto" w:fill="auto"/>
            <w:noWrap/>
            <w:vAlign w:val="center"/>
          </w:tcPr>
          <w:p w14:paraId="275312D9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DNA-binding transcriptional regulator, LysR family</w:t>
            </w:r>
          </w:p>
        </w:tc>
        <w:tc>
          <w:tcPr>
            <w:tcW w:w="1073" w:type="dxa"/>
            <w:shd w:val="clear" w:color="auto" w:fill="auto"/>
            <w:noWrap/>
            <w:vAlign w:val="center"/>
          </w:tcPr>
          <w:p w14:paraId="3906CC0D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09EA4EE5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1D4A35B1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IFB0487</w:t>
            </w:r>
          </w:p>
        </w:tc>
        <w:tc>
          <w:tcPr>
            <w:tcW w:w="1176" w:type="dxa"/>
            <w:vAlign w:val="center"/>
          </w:tcPr>
          <w:p w14:paraId="42FA7981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E</w:t>
            </w:r>
          </w:p>
        </w:tc>
        <w:tc>
          <w:tcPr>
            <w:tcW w:w="1254" w:type="dxa"/>
            <w:shd w:val="clear" w:color="auto" w:fill="auto"/>
            <w:noWrap/>
            <w:vAlign w:val="center"/>
          </w:tcPr>
          <w:p w14:paraId="1E14182A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COG0765</w:t>
            </w:r>
          </w:p>
        </w:tc>
        <w:tc>
          <w:tcPr>
            <w:tcW w:w="4143" w:type="dxa"/>
            <w:shd w:val="clear" w:color="auto" w:fill="auto"/>
            <w:noWrap/>
            <w:vAlign w:val="center"/>
          </w:tcPr>
          <w:p w14:paraId="03EFD5F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ABC-type amino acid transport system, permease component</w:t>
            </w:r>
          </w:p>
        </w:tc>
        <w:tc>
          <w:tcPr>
            <w:tcW w:w="1073" w:type="dxa"/>
            <w:shd w:val="clear" w:color="auto" w:fill="auto"/>
            <w:noWrap/>
            <w:vAlign w:val="center"/>
          </w:tcPr>
          <w:p w14:paraId="22F0C60B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12F2EC1E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7CE151D2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IFB0487</w:t>
            </w:r>
          </w:p>
        </w:tc>
        <w:tc>
          <w:tcPr>
            <w:tcW w:w="1176" w:type="dxa"/>
            <w:vAlign w:val="center"/>
          </w:tcPr>
          <w:p w14:paraId="6B0CF30D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NT</w:t>
            </w:r>
          </w:p>
        </w:tc>
        <w:tc>
          <w:tcPr>
            <w:tcW w:w="1254" w:type="dxa"/>
            <w:shd w:val="clear" w:color="auto" w:fill="auto"/>
            <w:noWrap/>
            <w:vAlign w:val="center"/>
          </w:tcPr>
          <w:p w14:paraId="6AD52D09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COG0840</w:t>
            </w:r>
          </w:p>
        </w:tc>
        <w:tc>
          <w:tcPr>
            <w:tcW w:w="4143" w:type="dxa"/>
            <w:shd w:val="clear" w:color="auto" w:fill="auto"/>
            <w:noWrap/>
            <w:vAlign w:val="center"/>
          </w:tcPr>
          <w:p w14:paraId="0F2DA117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Methyl-accepting chemotaxis protein</w:t>
            </w:r>
          </w:p>
        </w:tc>
        <w:tc>
          <w:tcPr>
            <w:tcW w:w="1073" w:type="dxa"/>
            <w:shd w:val="clear" w:color="auto" w:fill="auto"/>
            <w:noWrap/>
            <w:vAlign w:val="center"/>
          </w:tcPr>
          <w:p w14:paraId="6489BBB5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72544616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0C58FAD1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IFB0487</w:t>
            </w:r>
          </w:p>
        </w:tc>
        <w:tc>
          <w:tcPr>
            <w:tcW w:w="1176" w:type="dxa"/>
            <w:vAlign w:val="center"/>
          </w:tcPr>
          <w:p w14:paraId="4C9AD514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NT</w:t>
            </w:r>
          </w:p>
        </w:tc>
        <w:tc>
          <w:tcPr>
            <w:tcW w:w="1254" w:type="dxa"/>
            <w:shd w:val="clear" w:color="auto" w:fill="auto"/>
            <w:noWrap/>
            <w:vAlign w:val="center"/>
          </w:tcPr>
          <w:p w14:paraId="6AED4019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COG0840</w:t>
            </w:r>
          </w:p>
        </w:tc>
        <w:tc>
          <w:tcPr>
            <w:tcW w:w="4143" w:type="dxa"/>
            <w:shd w:val="clear" w:color="auto" w:fill="auto"/>
            <w:noWrap/>
            <w:vAlign w:val="center"/>
          </w:tcPr>
          <w:p w14:paraId="2AC0E523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Methyl-accepting chemotaxis protein</w:t>
            </w:r>
          </w:p>
        </w:tc>
        <w:tc>
          <w:tcPr>
            <w:tcW w:w="1073" w:type="dxa"/>
            <w:shd w:val="clear" w:color="auto" w:fill="auto"/>
            <w:noWrap/>
            <w:vAlign w:val="center"/>
          </w:tcPr>
          <w:p w14:paraId="4523327A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264CD31C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2611BD0B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IFB0487</w:t>
            </w:r>
          </w:p>
        </w:tc>
        <w:tc>
          <w:tcPr>
            <w:tcW w:w="1176" w:type="dxa"/>
            <w:vAlign w:val="center"/>
          </w:tcPr>
          <w:p w14:paraId="118E1D00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I</w:t>
            </w:r>
          </w:p>
        </w:tc>
        <w:tc>
          <w:tcPr>
            <w:tcW w:w="1254" w:type="dxa"/>
            <w:shd w:val="clear" w:color="auto" w:fill="auto"/>
            <w:noWrap/>
            <w:vAlign w:val="center"/>
          </w:tcPr>
          <w:p w14:paraId="13FB3FDA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COG1024</w:t>
            </w:r>
          </w:p>
        </w:tc>
        <w:tc>
          <w:tcPr>
            <w:tcW w:w="4143" w:type="dxa"/>
            <w:shd w:val="clear" w:color="auto" w:fill="auto"/>
            <w:noWrap/>
            <w:vAlign w:val="center"/>
          </w:tcPr>
          <w:p w14:paraId="28CD402D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Enoyl-CoA hydratase/carnithine racemase</w:t>
            </w:r>
          </w:p>
        </w:tc>
        <w:tc>
          <w:tcPr>
            <w:tcW w:w="1073" w:type="dxa"/>
            <w:shd w:val="clear" w:color="auto" w:fill="auto"/>
            <w:noWrap/>
            <w:vAlign w:val="center"/>
          </w:tcPr>
          <w:p w14:paraId="6523B7BE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0B608DEC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6C4B9FE7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IFB0487</w:t>
            </w:r>
          </w:p>
        </w:tc>
        <w:tc>
          <w:tcPr>
            <w:tcW w:w="1176" w:type="dxa"/>
            <w:vAlign w:val="center"/>
          </w:tcPr>
          <w:p w14:paraId="2C424CBE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E</w:t>
            </w:r>
          </w:p>
        </w:tc>
        <w:tc>
          <w:tcPr>
            <w:tcW w:w="1254" w:type="dxa"/>
            <w:shd w:val="clear" w:color="auto" w:fill="auto"/>
            <w:noWrap/>
            <w:vAlign w:val="center"/>
          </w:tcPr>
          <w:p w14:paraId="0686D730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COG2049</w:t>
            </w:r>
          </w:p>
        </w:tc>
        <w:tc>
          <w:tcPr>
            <w:tcW w:w="4143" w:type="dxa"/>
            <w:shd w:val="clear" w:color="auto" w:fill="auto"/>
            <w:noWrap/>
            <w:vAlign w:val="center"/>
          </w:tcPr>
          <w:p w14:paraId="7DFA0ED2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Allophanate hydrolase subunit 1</w:t>
            </w:r>
          </w:p>
        </w:tc>
        <w:tc>
          <w:tcPr>
            <w:tcW w:w="1073" w:type="dxa"/>
            <w:shd w:val="clear" w:color="auto" w:fill="auto"/>
            <w:noWrap/>
            <w:vAlign w:val="center"/>
          </w:tcPr>
          <w:p w14:paraId="7D178BF1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1A3DCB6B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12314378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IFB0487</w:t>
            </w:r>
          </w:p>
        </w:tc>
        <w:tc>
          <w:tcPr>
            <w:tcW w:w="1176" w:type="dxa"/>
            <w:vAlign w:val="center"/>
          </w:tcPr>
          <w:p w14:paraId="06F616E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Q</w:t>
            </w:r>
          </w:p>
        </w:tc>
        <w:tc>
          <w:tcPr>
            <w:tcW w:w="1254" w:type="dxa"/>
            <w:shd w:val="clear" w:color="auto" w:fill="auto"/>
            <w:noWrap/>
            <w:vAlign w:val="center"/>
          </w:tcPr>
          <w:p w14:paraId="29DA751D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COG3321</w:t>
            </w:r>
          </w:p>
        </w:tc>
        <w:tc>
          <w:tcPr>
            <w:tcW w:w="4143" w:type="dxa"/>
            <w:shd w:val="clear" w:color="auto" w:fill="auto"/>
            <w:noWrap/>
            <w:vAlign w:val="center"/>
          </w:tcPr>
          <w:p w14:paraId="3CCBAC68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Acyl transferase domain in polyketide synthase (PKS) enzymes</w:t>
            </w:r>
          </w:p>
        </w:tc>
        <w:tc>
          <w:tcPr>
            <w:tcW w:w="1073" w:type="dxa"/>
            <w:shd w:val="clear" w:color="auto" w:fill="auto"/>
            <w:noWrap/>
            <w:vAlign w:val="center"/>
          </w:tcPr>
          <w:p w14:paraId="6CA1E792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-</w:t>
            </w:r>
          </w:p>
        </w:tc>
      </w:tr>
      <w:tr w:rsidR="00440382" w:rsidRPr="00E9663C" w14:paraId="1A66827F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4FB1999E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MK10</w:t>
            </w:r>
          </w:p>
        </w:tc>
        <w:tc>
          <w:tcPr>
            <w:tcW w:w="1176" w:type="dxa"/>
            <w:vAlign w:val="center"/>
          </w:tcPr>
          <w:p w14:paraId="6B5F22C1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K</w:t>
            </w:r>
          </w:p>
        </w:tc>
        <w:tc>
          <w:tcPr>
            <w:tcW w:w="1254" w:type="dxa"/>
            <w:shd w:val="clear" w:color="auto" w:fill="auto"/>
            <w:noWrap/>
            <w:vAlign w:val="center"/>
          </w:tcPr>
          <w:p w14:paraId="3BC53695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COG1737</w:t>
            </w:r>
          </w:p>
        </w:tc>
        <w:tc>
          <w:tcPr>
            <w:tcW w:w="4143" w:type="dxa"/>
            <w:shd w:val="clear" w:color="auto" w:fill="auto"/>
            <w:noWrap/>
            <w:vAlign w:val="center"/>
          </w:tcPr>
          <w:p w14:paraId="17CBBE55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DNA-binding transcriptional regulator, MurR/RpiR family, contains HTH and SIS domains</w:t>
            </w:r>
          </w:p>
        </w:tc>
        <w:tc>
          <w:tcPr>
            <w:tcW w:w="1073" w:type="dxa"/>
            <w:shd w:val="clear" w:color="auto" w:fill="auto"/>
            <w:noWrap/>
            <w:vAlign w:val="center"/>
          </w:tcPr>
          <w:p w14:paraId="7E51924D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40E22F18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69A8F29D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11705EE2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U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1EF4C285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COG3210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2ED7278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Large exoprotein involved in heme utilization or adhesion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0F15581E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1252755B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40358E66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61A4C15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S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089ACC41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COG4458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359A8752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Uncharacterized protein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044626FD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756EF298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006CD571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6A44F80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KL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72ED5780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COG1061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1642BF11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Superfamily II DNA or RNA helicase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19A8A281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5E855F68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3C5DB937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72974087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P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2F937B2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COG1055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47E911D6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Na+/H+ antiporter NhaD or related arsenite permease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535E2A30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-</w:t>
            </w:r>
          </w:p>
        </w:tc>
      </w:tr>
      <w:tr w:rsidR="00440382" w:rsidRPr="00E9663C" w14:paraId="4924C96E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3DAA0F2B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4014BE29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R\x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76D0070E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COG4626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25AB8DF6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Phage terminase-like protein, large subunit, contains N-terminal HTH domain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4171E32B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-</w:t>
            </w:r>
          </w:p>
        </w:tc>
      </w:tr>
      <w:tr w:rsidR="00440382" w:rsidRPr="00E9663C" w14:paraId="7441B421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23504E84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5AE0D15A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S\K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7DCC5AC2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COG3177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23C2C85A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Fic family protein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028CF28D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50A3883B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17A85CF0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310232D6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S\X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3C6518CE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COG5283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0D75613E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Phage-related tail protein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6B204929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48C2F1C7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2CAE0D49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2C4078C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L\X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4066E454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COG0582</w:t>
            </w:r>
          </w:p>
        </w:tc>
        <w:tc>
          <w:tcPr>
            <w:tcW w:w="4143" w:type="dxa"/>
            <w:shd w:val="clear" w:color="auto" w:fill="auto"/>
            <w:vAlign w:val="center"/>
            <w:hideMark/>
          </w:tcPr>
          <w:p w14:paraId="46524986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Integrase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5DDB7FCE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6B273972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79C2475D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lastRenderedPageBreak/>
              <w:t>RNS 05.1.2A</w:t>
            </w:r>
          </w:p>
        </w:tc>
        <w:tc>
          <w:tcPr>
            <w:tcW w:w="1176" w:type="dxa"/>
            <w:vAlign w:val="center"/>
          </w:tcPr>
          <w:p w14:paraId="2D38C674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R\T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762219CB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COG1073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15446FCB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Fermentation-respiration switch protein FrsA, has esterase activity, DUF1100 family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7D8179B6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3EDB0C93" w14:textId="77777777" w:rsidTr="000D4592">
        <w:trPr>
          <w:trHeight w:val="945"/>
          <w:jc w:val="center"/>
        </w:trPr>
        <w:tc>
          <w:tcPr>
            <w:tcW w:w="1070" w:type="dxa"/>
            <w:vAlign w:val="center"/>
          </w:tcPr>
          <w:p w14:paraId="5AD3ADD8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05C112C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M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5AFB52C9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COG2148</w:t>
            </w:r>
          </w:p>
        </w:tc>
        <w:tc>
          <w:tcPr>
            <w:tcW w:w="4143" w:type="dxa"/>
            <w:shd w:val="clear" w:color="auto" w:fill="auto"/>
            <w:vAlign w:val="center"/>
            <w:hideMark/>
          </w:tcPr>
          <w:p w14:paraId="76A3BCB6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Sugar transferase involved in LPS biosynthesis (colanic, teichoic acid)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028B8E34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3F0E9BA5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747E3945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2968030E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G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1649F4A6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COG2814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2E3B3F80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Predicted arabinose efflux permease, MFS family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31FFD802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508B5824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2E75D765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79D4F7FB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F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7A3A6485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COG2131</w:t>
            </w:r>
          </w:p>
        </w:tc>
        <w:tc>
          <w:tcPr>
            <w:tcW w:w="4143" w:type="dxa"/>
            <w:shd w:val="clear" w:color="auto" w:fill="auto"/>
            <w:vAlign w:val="center"/>
            <w:hideMark/>
          </w:tcPr>
          <w:p w14:paraId="2D2F4AC3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Deoxycytidylate deaminase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0A53EBD7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-</w:t>
            </w:r>
          </w:p>
        </w:tc>
      </w:tr>
      <w:tr w:rsidR="00440382" w:rsidRPr="00E9663C" w14:paraId="2561A6A5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0CC15065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6F35FB12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S\X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04EDCD37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COG4695</w:t>
            </w:r>
          </w:p>
        </w:tc>
        <w:tc>
          <w:tcPr>
            <w:tcW w:w="4143" w:type="dxa"/>
            <w:shd w:val="clear" w:color="auto" w:fill="auto"/>
            <w:vAlign w:val="center"/>
            <w:hideMark/>
          </w:tcPr>
          <w:p w14:paraId="31E66B35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Phage portal protein BeeE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6FAB9AE1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237AACE5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2E42D9FD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55B194C7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R\X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18A57647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COG4653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1EB74F6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Predicted phage phi-C31 gp36 major capsid-like protein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796E9C9A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-</w:t>
            </w:r>
          </w:p>
        </w:tc>
      </w:tr>
      <w:tr w:rsidR="00440382" w:rsidRPr="00E9663C" w14:paraId="7BA44A13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344784DD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36C0EA8D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GEPR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21F2FC04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COG0477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01BAE24D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MFS family permease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798843F7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6F598D63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68BAA8A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5BE5AC5E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S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151282D8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COG5484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02325324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Uncharacterized protein YjcR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5FAC482B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-</w:t>
            </w:r>
          </w:p>
        </w:tc>
      </w:tr>
      <w:tr w:rsidR="00440382" w:rsidRPr="00E9663C" w14:paraId="70FBF7DB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5991F1CB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4EF5E910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S\O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4AFAEF5E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COG1262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17BDB9D9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Formylglycine-generating enzyme, required for sulfatase activity, contains SUMF1/FGE domain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648F855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56DBE8CF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0D6079C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492DA761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R\L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777B2261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COG1201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49E2E3E4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Lhr-like helicase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204D7706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-</w:t>
            </w:r>
          </w:p>
        </w:tc>
      </w:tr>
      <w:tr w:rsidR="00440382" w:rsidRPr="00E9663C" w14:paraId="74293633" w14:textId="77777777" w:rsidTr="000D4592">
        <w:trPr>
          <w:trHeight w:val="630"/>
          <w:jc w:val="center"/>
        </w:trPr>
        <w:tc>
          <w:tcPr>
            <w:tcW w:w="1070" w:type="dxa"/>
            <w:vAlign w:val="center"/>
          </w:tcPr>
          <w:p w14:paraId="4D7F3FEA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25C3D15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R\X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6443E96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COG5518</w:t>
            </w:r>
          </w:p>
        </w:tc>
        <w:tc>
          <w:tcPr>
            <w:tcW w:w="4143" w:type="dxa"/>
            <w:shd w:val="clear" w:color="auto" w:fill="auto"/>
            <w:vAlign w:val="center"/>
            <w:hideMark/>
          </w:tcPr>
          <w:p w14:paraId="1C5ED21E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Bacteriophage capsid portal protein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7CAF825D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-</w:t>
            </w:r>
          </w:p>
        </w:tc>
      </w:tr>
      <w:tr w:rsidR="00440382" w:rsidRPr="00E9663C" w14:paraId="5B56B883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6C112BA6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69C47983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S\X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31767A52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COG4643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293F6C90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Uncharacterized domain associated with phage/plasmid primase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0134A2D0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4064B099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28F16736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50115DF4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K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454E4397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COG0583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6683CB8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DNA-binding transcriptional regulator, LysR family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6924B5F0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3892F40B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71D7B372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7B0C22C2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S\X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1B9E608B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COG5283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25EA75E9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Phage-related tail protein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2EBA3513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118C86A0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78A9112D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0904DA9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1A43AF33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COG3500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31A4FC2A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Phage protein D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216A996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6A7DF7C1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5715590D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69063903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L\LX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2EC61A82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COG0582</w:t>
            </w:r>
          </w:p>
        </w:tc>
        <w:tc>
          <w:tcPr>
            <w:tcW w:w="4143" w:type="dxa"/>
            <w:shd w:val="clear" w:color="auto" w:fill="auto"/>
            <w:vAlign w:val="center"/>
            <w:hideMark/>
          </w:tcPr>
          <w:p w14:paraId="00F3AEB8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Integrase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1F8272E1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0084BC21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7D96A088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16997BD8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R\X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1930B974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COG4386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7D476284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Mu-like prophage tail sheath protein gpL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369B57D1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-</w:t>
            </w:r>
          </w:p>
        </w:tc>
      </w:tr>
      <w:tr w:rsidR="00440382" w:rsidRPr="00E9663C" w14:paraId="47CFAAE2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7F31F13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3A00944B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V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4345CC40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COG0577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67B98645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ABC-type antimicrobial peptide transport system, permease component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5360E8C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5407A254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04DB729A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71C830E5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S\X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2808AED0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COG3299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70273182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Uncharacterized phage protein gp47/JayE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2AA3412A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16E80B33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43EB4197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334005DD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R\X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3A2DB81E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COG1783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06FD1FA8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Phage terminase large subunit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37B431D2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-</w:t>
            </w:r>
          </w:p>
        </w:tc>
      </w:tr>
      <w:tr w:rsidR="00440382" w:rsidRPr="00E9663C" w14:paraId="72EB0D29" w14:textId="77777777" w:rsidTr="000D4592">
        <w:trPr>
          <w:trHeight w:val="945"/>
          <w:jc w:val="center"/>
        </w:trPr>
        <w:tc>
          <w:tcPr>
            <w:tcW w:w="1070" w:type="dxa"/>
            <w:vAlign w:val="center"/>
          </w:tcPr>
          <w:p w14:paraId="5F02690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lastRenderedPageBreak/>
              <w:t>RNS 05.1.2A</w:t>
            </w:r>
          </w:p>
        </w:tc>
        <w:tc>
          <w:tcPr>
            <w:tcW w:w="1176" w:type="dxa"/>
            <w:vAlign w:val="center"/>
          </w:tcPr>
          <w:p w14:paraId="7A8553DD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J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67EF494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COG0154</w:t>
            </w:r>
          </w:p>
        </w:tc>
        <w:tc>
          <w:tcPr>
            <w:tcW w:w="4143" w:type="dxa"/>
            <w:shd w:val="clear" w:color="auto" w:fill="auto"/>
            <w:vAlign w:val="center"/>
            <w:hideMark/>
          </w:tcPr>
          <w:p w14:paraId="61DC37A2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Asp-tRNAAsn/Glu-tRNAGln amidotransferase A subunit or related amidase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584F3D2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43D8028D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3E64DCF9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3E7E18B2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V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06862F26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COG4268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64CB670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5-methylcytosine-specific restriction endonuclease McrBC, regulatory subunit McrC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6A3D1192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-</w:t>
            </w:r>
          </w:p>
        </w:tc>
      </w:tr>
      <w:tr w:rsidR="00440382" w:rsidRPr="00E9663C" w14:paraId="250FB435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50E6C65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4054FA9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C\S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171F132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COG4313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1E2FA3C1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Uncharacterized conserved protein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24A9E700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7972C73F" w14:textId="77777777" w:rsidTr="000D4592">
        <w:trPr>
          <w:trHeight w:val="945"/>
          <w:jc w:val="center"/>
        </w:trPr>
        <w:tc>
          <w:tcPr>
            <w:tcW w:w="1070" w:type="dxa"/>
            <w:vAlign w:val="center"/>
          </w:tcPr>
          <w:p w14:paraId="66811A7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01E200F6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S\X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564B7EC9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COG3778</w:t>
            </w:r>
          </w:p>
        </w:tc>
        <w:tc>
          <w:tcPr>
            <w:tcW w:w="4143" w:type="dxa"/>
            <w:shd w:val="clear" w:color="auto" w:fill="auto"/>
            <w:vAlign w:val="center"/>
            <w:hideMark/>
          </w:tcPr>
          <w:p w14:paraId="294BBF50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Uncharacterized protein YmfQ in lambdoid prophage, DUF2313 family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59F725D2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-</w:t>
            </w:r>
          </w:p>
        </w:tc>
      </w:tr>
      <w:tr w:rsidR="00440382" w:rsidRPr="00E9663C" w14:paraId="6AD0E633" w14:textId="77777777" w:rsidTr="000D4592">
        <w:trPr>
          <w:trHeight w:val="945"/>
          <w:jc w:val="center"/>
        </w:trPr>
        <w:tc>
          <w:tcPr>
            <w:tcW w:w="1070" w:type="dxa"/>
            <w:vAlign w:val="center"/>
          </w:tcPr>
          <w:p w14:paraId="4352B38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56BEDED8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H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7377EE44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COG1541</w:t>
            </w:r>
          </w:p>
        </w:tc>
        <w:tc>
          <w:tcPr>
            <w:tcW w:w="4143" w:type="dxa"/>
            <w:shd w:val="clear" w:color="auto" w:fill="auto"/>
            <w:vAlign w:val="center"/>
            <w:hideMark/>
          </w:tcPr>
          <w:p w14:paraId="5AFC92D3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Phenylacetate-coenzyme A ligase PaaK, adenylate-forming domain family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269986B0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4627BF02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6B1C31AE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33AAC37E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R\X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391A862D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COG3740</w:t>
            </w:r>
          </w:p>
        </w:tc>
        <w:tc>
          <w:tcPr>
            <w:tcW w:w="4143" w:type="dxa"/>
            <w:shd w:val="clear" w:color="auto" w:fill="auto"/>
            <w:vAlign w:val="center"/>
            <w:hideMark/>
          </w:tcPr>
          <w:p w14:paraId="499A382D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Phage head maturation protease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3C69E94B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-</w:t>
            </w:r>
          </w:p>
        </w:tc>
      </w:tr>
      <w:tr w:rsidR="00440382" w:rsidRPr="00E9663C" w14:paraId="4E1D8C6B" w14:textId="77777777" w:rsidTr="000D4592">
        <w:trPr>
          <w:trHeight w:val="630"/>
          <w:jc w:val="center"/>
        </w:trPr>
        <w:tc>
          <w:tcPr>
            <w:tcW w:w="1070" w:type="dxa"/>
            <w:vAlign w:val="center"/>
          </w:tcPr>
          <w:p w14:paraId="7DD7849E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500799E2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L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4EA74FF0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COG0338</w:t>
            </w:r>
          </w:p>
        </w:tc>
        <w:tc>
          <w:tcPr>
            <w:tcW w:w="4143" w:type="dxa"/>
            <w:shd w:val="clear" w:color="auto" w:fill="auto"/>
            <w:vAlign w:val="center"/>
            <w:hideMark/>
          </w:tcPr>
          <w:p w14:paraId="03B2860E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Site-specific DNA-adenine methylase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72CD6EB8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31F0F15F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5EA0BD36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5787A060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V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092061F6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COG1401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3A5AE11A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5-methylcytosine-specific restriction endonuclease McrBC, GTP-binding regulatory subunit McrB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4B7A67E7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-</w:t>
            </w:r>
          </w:p>
        </w:tc>
      </w:tr>
      <w:tr w:rsidR="00440382" w:rsidRPr="00E9663C" w14:paraId="6C2F4250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036884E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5BC079D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EH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021050E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COG0115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46FD8A09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Branched-chain amino acid aminotransferase/4-amino-4-deoxychorismate lyase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07A5515E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0B2474FC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6C0FD59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36831798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R\X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5E2CEC2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COG5301</w:t>
            </w:r>
          </w:p>
        </w:tc>
        <w:tc>
          <w:tcPr>
            <w:tcW w:w="4143" w:type="dxa"/>
            <w:shd w:val="clear" w:color="auto" w:fill="auto"/>
            <w:vAlign w:val="center"/>
            <w:hideMark/>
          </w:tcPr>
          <w:p w14:paraId="7C6D3889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Phage-related tail fibre protein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051ED6D6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5FB2BB5E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10A8A597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30E5549E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L\LH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68EC052B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COG0582</w:t>
            </w:r>
          </w:p>
        </w:tc>
        <w:tc>
          <w:tcPr>
            <w:tcW w:w="4143" w:type="dxa"/>
            <w:shd w:val="clear" w:color="auto" w:fill="auto"/>
            <w:vAlign w:val="center"/>
            <w:hideMark/>
          </w:tcPr>
          <w:p w14:paraId="418F1F4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Integrase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2AB0E7A0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35DF571B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66CAE19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103DFD0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3521E4B1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COG3179</w:t>
            </w:r>
          </w:p>
        </w:tc>
        <w:tc>
          <w:tcPr>
            <w:tcW w:w="4143" w:type="dxa"/>
            <w:shd w:val="clear" w:color="auto" w:fill="auto"/>
            <w:vAlign w:val="center"/>
            <w:hideMark/>
          </w:tcPr>
          <w:p w14:paraId="704F35A3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Predicted chitinase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29C9982A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3DC8637B" w14:textId="77777777" w:rsidTr="000D4592">
        <w:trPr>
          <w:trHeight w:val="630"/>
          <w:jc w:val="center"/>
        </w:trPr>
        <w:tc>
          <w:tcPr>
            <w:tcW w:w="1070" w:type="dxa"/>
            <w:vAlign w:val="center"/>
          </w:tcPr>
          <w:p w14:paraId="541D6419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06960341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K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440784DE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COG0583</w:t>
            </w:r>
          </w:p>
        </w:tc>
        <w:tc>
          <w:tcPr>
            <w:tcW w:w="4143" w:type="dxa"/>
            <w:shd w:val="clear" w:color="auto" w:fill="auto"/>
            <w:vAlign w:val="center"/>
            <w:hideMark/>
          </w:tcPr>
          <w:p w14:paraId="6F811196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DNA-binding transcriptional regulator, LysR family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458C98A2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581497EC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4B9D3D59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6A476D1A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V\M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51315C41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COG1136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6DAD1356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ABC-type lipoprotein export system, ATPase component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23CBAF66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452F9DD3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29151798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2936FA69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V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3D315FF7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COG0732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2A3B6E0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Restriction endonuclease S subunit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44F9FB6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-</w:t>
            </w:r>
          </w:p>
        </w:tc>
      </w:tr>
      <w:tr w:rsidR="00440382" w:rsidRPr="00E9663C" w14:paraId="78F143DA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4EC692F3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33005250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2E629F54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COG2085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1887324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Predicted dinucleotide-binding enzyme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15A1BD8B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0636F63A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5AC4F18A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507311F9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GEPR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69856B4D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COG0477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3E724DC0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MFS family permease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421DA45A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6B9157B8" w14:textId="77777777" w:rsidTr="000D4592">
        <w:trPr>
          <w:trHeight w:val="630"/>
          <w:jc w:val="center"/>
        </w:trPr>
        <w:tc>
          <w:tcPr>
            <w:tcW w:w="1070" w:type="dxa"/>
            <w:vAlign w:val="center"/>
          </w:tcPr>
          <w:p w14:paraId="0590C745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1E395E63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S\R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19E6B7E9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COG4226</w:t>
            </w:r>
          </w:p>
        </w:tc>
        <w:tc>
          <w:tcPr>
            <w:tcW w:w="4143" w:type="dxa"/>
            <w:shd w:val="clear" w:color="auto" w:fill="auto"/>
            <w:vAlign w:val="center"/>
            <w:hideMark/>
          </w:tcPr>
          <w:p w14:paraId="432A251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Predicted nuclease of the RNAse H fold, HicB family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42DE773E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678D5892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41DF11A6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25B4E50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R\X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27C3CBB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COG5301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1D6BC4FD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Phage-related tail fibre protein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4A70E1A5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72987BFD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348BCCE1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lastRenderedPageBreak/>
              <w:t>RNS 05.1.2A</w:t>
            </w:r>
          </w:p>
        </w:tc>
        <w:tc>
          <w:tcPr>
            <w:tcW w:w="1176" w:type="dxa"/>
            <w:vAlign w:val="center"/>
          </w:tcPr>
          <w:p w14:paraId="723FA688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S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0EE4A499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COG3567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748B385A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Uncharacterized protein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1BFDCC6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-</w:t>
            </w:r>
          </w:p>
        </w:tc>
      </w:tr>
      <w:tr w:rsidR="00440382" w:rsidRPr="00E9663C" w14:paraId="24F57903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5ED9858E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59E5811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G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5496F7E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COG4193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3EB1F007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Beta-N-acetylglucosaminidase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4B520779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-</w:t>
            </w:r>
          </w:p>
        </w:tc>
      </w:tr>
      <w:tr w:rsidR="00440382" w:rsidRPr="00E9663C" w14:paraId="69B125F3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78302993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6AB7E329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S\X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2B92985A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COG5283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31EB8339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Phage-related tail protein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3315E2F8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5948751C" w14:textId="77777777" w:rsidTr="000D4592">
        <w:trPr>
          <w:trHeight w:val="945"/>
          <w:jc w:val="center"/>
        </w:trPr>
        <w:tc>
          <w:tcPr>
            <w:tcW w:w="1070" w:type="dxa"/>
            <w:vAlign w:val="center"/>
          </w:tcPr>
          <w:p w14:paraId="4C09BDA8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2CBDC2D4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K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06E80EF8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COG1396</w:t>
            </w:r>
          </w:p>
        </w:tc>
        <w:tc>
          <w:tcPr>
            <w:tcW w:w="4143" w:type="dxa"/>
            <w:shd w:val="clear" w:color="auto" w:fill="auto"/>
            <w:vAlign w:val="center"/>
            <w:hideMark/>
          </w:tcPr>
          <w:p w14:paraId="0F92EC4E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Transcriptional regulator, contains XRE-family HTH domain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12802642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578810DB" w14:textId="77777777" w:rsidTr="000D4592">
        <w:trPr>
          <w:trHeight w:val="945"/>
          <w:jc w:val="center"/>
        </w:trPr>
        <w:tc>
          <w:tcPr>
            <w:tcW w:w="1070" w:type="dxa"/>
            <w:vAlign w:val="center"/>
          </w:tcPr>
          <w:p w14:paraId="4BC1A9C8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5F9B4C19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K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63C3513E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COG2207</w:t>
            </w:r>
          </w:p>
        </w:tc>
        <w:tc>
          <w:tcPr>
            <w:tcW w:w="4143" w:type="dxa"/>
            <w:shd w:val="clear" w:color="auto" w:fill="auto"/>
            <w:vAlign w:val="center"/>
            <w:hideMark/>
          </w:tcPr>
          <w:p w14:paraId="5710A285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AraC-type DNA-binding domain and AraC-containing proteins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3437B0D8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418B379E" w14:textId="77777777" w:rsidTr="000D4592">
        <w:trPr>
          <w:trHeight w:val="630"/>
          <w:jc w:val="center"/>
        </w:trPr>
        <w:tc>
          <w:tcPr>
            <w:tcW w:w="1070" w:type="dxa"/>
            <w:vAlign w:val="center"/>
          </w:tcPr>
          <w:p w14:paraId="19FB78DA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5F580E1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S\X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5022ADAD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COG3299</w:t>
            </w:r>
          </w:p>
        </w:tc>
        <w:tc>
          <w:tcPr>
            <w:tcW w:w="4143" w:type="dxa"/>
            <w:shd w:val="clear" w:color="auto" w:fill="auto"/>
            <w:vAlign w:val="center"/>
            <w:hideMark/>
          </w:tcPr>
          <w:p w14:paraId="5D6DADB2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Uncharacterized phage protein gp47/JayE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53AD7C6D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4EC48E61" w14:textId="77777777" w:rsidTr="000D4592">
        <w:trPr>
          <w:trHeight w:val="630"/>
          <w:jc w:val="center"/>
        </w:trPr>
        <w:tc>
          <w:tcPr>
            <w:tcW w:w="1070" w:type="dxa"/>
            <w:vAlign w:val="center"/>
          </w:tcPr>
          <w:p w14:paraId="14E16FF5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2790CF64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R\X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7970EA72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COG4379</w:t>
            </w:r>
          </w:p>
        </w:tc>
        <w:tc>
          <w:tcPr>
            <w:tcW w:w="4143" w:type="dxa"/>
            <w:shd w:val="clear" w:color="auto" w:fill="auto"/>
            <w:vAlign w:val="center"/>
            <w:hideMark/>
          </w:tcPr>
          <w:p w14:paraId="7BDEFD50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Mu-like prophage tail protein gpP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34A8E777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-</w:t>
            </w:r>
          </w:p>
        </w:tc>
      </w:tr>
      <w:tr w:rsidR="00440382" w:rsidRPr="00E9663C" w14:paraId="7CE99C0E" w14:textId="77777777" w:rsidTr="000D4592">
        <w:trPr>
          <w:trHeight w:val="630"/>
          <w:jc w:val="center"/>
        </w:trPr>
        <w:tc>
          <w:tcPr>
            <w:tcW w:w="1070" w:type="dxa"/>
            <w:vAlign w:val="center"/>
          </w:tcPr>
          <w:p w14:paraId="65970A62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6E764810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K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4AB76E52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COG0640</w:t>
            </w:r>
          </w:p>
        </w:tc>
        <w:tc>
          <w:tcPr>
            <w:tcW w:w="4143" w:type="dxa"/>
            <w:shd w:val="clear" w:color="auto" w:fill="auto"/>
            <w:vAlign w:val="center"/>
            <w:hideMark/>
          </w:tcPr>
          <w:p w14:paraId="7A1017D4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DNA-binding transcriptional regulator, ArsR family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566F0A43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6A795E93" w14:textId="77777777" w:rsidTr="000D4592">
        <w:trPr>
          <w:trHeight w:val="945"/>
          <w:jc w:val="center"/>
        </w:trPr>
        <w:tc>
          <w:tcPr>
            <w:tcW w:w="1070" w:type="dxa"/>
            <w:vAlign w:val="center"/>
          </w:tcPr>
          <w:p w14:paraId="2914BE9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1BE1A538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L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3A8C0573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COG0507</w:t>
            </w:r>
          </w:p>
        </w:tc>
        <w:tc>
          <w:tcPr>
            <w:tcW w:w="4143" w:type="dxa"/>
            <w:shd w:val="clear" w:color="auto" w:fill="auto"/>
            <w:vAlign w:val="center"/>
            <w:hideMark/>
          </w:tcPr>
          <w:p w14:paraId="28B9D7C8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ATP-dependent exoDNAse (exonuclease V), alpha subunit, helicase superfamily I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7C97E6A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134B0E9F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4D2E249D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7E3F747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E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636527B1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COG0436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3AB09F5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Aspartate/methionine/tyrosine aminotransferase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24DED2D5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39F9E35A" w14:textId="77777777" w:rsidTr="000D4592">
        <w:trPr>
          <w:trHeight w:val="630"/>
          <w:jc w:val="center"/>
        </w:trPr>
        <w:tc>
          <w:tcPr>
            <w:tcW w:w="1070" w:type="dxa"/>
            <w:vAlign w:val="center"/>
          </w:tcPr>
          <w:p w14:paraId="417CAA0D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669488B7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S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6B4DC612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COG4453</w:t>
            </w:r>
          </w:p>
        </w:tc>
        <w:tc>
          <w:tcPr>
            <w:tcW w:w="4143" w:type="dxa"/>
            <w:shd w:val="clear" w:color="auto" w:fill="auto"/>
            <w:vAlign w:val="center"/>
            <w:hideMark/>
          </w:tcPr>
          <w:p w14:paraId="21B48877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Uncharacterized conserved protein, DUF1778 family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25E414A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61CF0257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4293B781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37F3B877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K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1BF87696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COG1846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25EA2BAA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DNA-binding transcriptional regulator, MarR family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2399E410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2153A9C4" w14:textId="77777777" w:rsidTr="000D4592">
        <w:trPr>
          <w:trHeight w:val="1260"/>
          <w:jc w:val="center"/>
        </w:trPr>
        <w:tc>
          <w:tcPr>
            <w:tcW w:w="1070" w:type="dxa"/>
            <w:vAlign w:val="center"/>
          </w:tcPr>
          <w:p w14:paraId="5D99BD36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6DFCB940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R\L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135BB707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COG0433</w:t>
            </w:r>
          </w:p>
        </w:tc>
        <w:tc>
          <w:tcPr>
            <w:tcW w:w="4143" w:type="dxa"/>
            <w:shd w:val="clear" w:color="auto" w:fill="auto"/>
            <w:vAlign w:val="center"/>
            <w:hideMark/>
          </w:tcPr>
          <w:p w14:paraId="408934E0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Archaeal DNA helicase HerA or a related bacterial ATPase, contains HAS-barrel and ATPase domains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6ABE4B17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-</w:t>
            </w:r>
          </w:p>
        </w:tc>
      </w:tr>
      <w:tr w:rsidR="00440382" w:rsidRPr="00E9663C" w14:paraId="20207F26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21A49A13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42B78486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E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1563D64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COG2423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32214F12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Ornithine cyclodeaminase/archaeal alanine dehydrogenase, mu-crystallin family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42E32C1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55E6B620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19BA9F23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2777BC63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R\X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3782DE0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COG3499</w:t>
            </w:r>
          </w:p>
        </w:tc>
        <w:tc>
          <w:tcPr>
            <w:tcW w:w="4143" w:type="dxa"/>
            <w:shd w:val="clear" w:color="auto" w:fill="auto"/>
            <w:vAlign w:val="center"/>
            <w:hideMark/>
          </w:tcPr>
          <w:p w14:paraId="328DB2DA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Phage protein U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01132107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733436FA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0EE5C664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1FF8A453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K\X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20C4CE42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COG2932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3929861B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Phage repressor protein C, contains Cro/C1-type HTH and peptisase s24 domains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090A8245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44CAA53B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352E1194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43651EE0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K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195E557D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COG2207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53025548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AraC-type DNA-binding domain and AraC-containing proteins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1B8E7FD4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32F22BA1" w14:textId="77777777" w:rsidTr="000D4592">
        <w:trPr>
          <w:trHeight w:val="945"/>
          <w:jc w:val="center"/>
        </w:trPr>
        <w:tc>
          <w:tcPr>
            <w:tcW w:w="1070" w:type="dxa"/>
            <w:vAlign w:val="center"/>
          </w:tcPr>
          <w:p w14:paraId="2D31B1A2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lastRenderedPageBreak/>
              <w:t>RNS 05.1.2A</w:t>
            </w:r>
          </w:p>
        </w:tc>
        <w:tc>
          <w:tcPr>
            <w:tcW w:w="1176" w:type="dxa"/>
            <w:vAlign w:val="center"/>
          </w:tcPr>
          <w:p w14:paraId="66786E96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JD\V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35376F6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COG2026</w:t>
            </w:r>
          </w:p>
        </w:tc>
        <w:tc>
          <w:tcPr>
            <w:tcW w:w="4143" w:type="dxa"/>
            <w:shd w:val="clear" w:color="auto" w:fill="auto"/>
            <w:vAlign w:val="center"/>
            <w:hideMark/>
          </w:tcPr>
          <w:p w14:paraId="2ABA5089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mRNA-degrading endonuclease RelE, toxin component of the RelBE toxin-antitoxin system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48B06A7D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-</w:t>
            </w:r>
          </w:p>
        </w:tc>
      </w:tr>
      <w:tr w:rsidR="00440382" w:rsidRPr="00E9663C" w14:paraId="32A77782" w14:textId="77777777" w:rsidTr="000D4592">
        <w:trPr>
          <w:trHeight w:val="630"/>
          <w:jc w:val="center"/>
        </w:trPr>
        <w:tc>
          <w:tcPr>
            <w:tcW w:w="1070" w:type="dxa"/>
            <w:vAlign w:val="center"/>
          </w:tcPr>
          <w:p w14:paraId="0F80A0C0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54A39062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K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21E6E701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COG2865</w:t>
            </w:r>
          </w:p>
        </w:tc>
        <w:tc>
          <w:tcPr>
            <w:tcW w:w="4143" w:type="dxa"/>
            <w:shd w:val="clear" w:color="auto" w:fill="auto"/>
            <w:vAlign w:val="center"/>
            <w:hideMark/>
          </w:tcPr>
          <w:p w14:paraId="3238DE51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Predicted transcriptional regulator, contains HTH domain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4AB591CE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-</w:t>
            </w:r>
          </w:p>
        </w:tc>
      </w:tr>
      <w:tr w:rsidR="00440382" w:rsidRPr="00E9663C" w14:paraId="1980FEAF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5DA090BD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73DD8CAE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R\C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156AF03E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COG0431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428F25E8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AD(P)H-dependent FMN reductase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08AE15A5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4FB5C042" w14:textId="77777777" w:rsidTr="000D4592">
        <w:trPr>
          <w:trHeight w:val="630"/>
          <w:jc w:val="center"/>
        </w:trPr>
        <w:tc>
          <w:tcPr>
            <w:tcW w:w="1070" w:type="dxa"/>
            <w:vAlign w:val="center"/>
          </w:tcPr>
          <w:p w14:paraId="04B74BB5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06E000DA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S\P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5A8D511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COG2128</w:t>
            </w:r>
          </w:p>
        </w:tc>
        <w:tc>
          <w:tcPr>
            <w:tcW w:w="4143" w:type="dxa"/>
            <w:shd w:val="clear" w:color="auto" w:fill="auto"/>
            <w:vAlign w:val="center"/>
            <w:hideMark/>
          </w:tcPr>
          <w:p w14:paraId="7A6D7590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Alkylhydroperoxidase family enzyme, contains CxxC motif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5443FFB6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59581C9C" w14:textId="77777777" w:rsidTr="000D4592">
        <w:trPr>
          <w:trHeight w:val="630"/>
          <w:jc w:val="center"/>
        </w:trPr>
        <w:tc>
          <w:tcPr>
            <w:tcW w:w="1070" w:type="dxa"/>
            <w:vAlign w:val="center"/>
          </w:tcPr>
          <w:p w14:paraId="0A9D8756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585D9C2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E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1A3D2B17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COG1280</w:t>
            </w:r>
          </w:p>
        </w:tc>
        <w:tc>
          <w:tcPr>
            <w:tcW w:w="4143" w:type="dxa"/>
            <w:shd w:val="clear" w:color="auto" w:fill="auto"/>
            <w:vAlign w:val="center"/>
            <w:hideMark/>
          </w:tcPr>
          <w:p w14:paraId="37AAC26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Threonine/homoserine/homoserine lactone efflux protein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2CF1F531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108160C9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244E7546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70F5C7C8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S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1FFE3D31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COG5532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777E4C40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Uncharacterized conserved protein YfdQ, DUF2303 family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43403015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-</w:t>
            </w:r>
          </w:p>
        </w:tc>
      </w:tr>
      <w:tr w:rsidR="00440382" w:rsidRPr="00E9663C" w14:paraId="407D4CB1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4E6AB99D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6F5F9785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K\X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4144C134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COG2932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05B4B359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Phage repressor protein C, contains Cro/C1-type HTH and peptisase s24 domains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00510D71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3A2690B2" w14:textId="77777777" w:rsidTr="000D4592">
        <w:trPr>
          <w:trHeight w:val="630"/>
          <w:jc w:val="center"/>
        </w:trPr>
        <w:tc>
          <w:tcPr>
            <w:tcW w:w="1070" w:type="dxa"/>
            <w:vAlign w:val="center"/>
          </w:tcPr>
          <w:p w14:paraId="21F3F553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27173CE8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R\W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41885C42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COG3628</w:t>
            </w:r>
          </w:p>
        </w:tc>
        <w:tc>
          <w:tcPr>
            <w:tcW w:w="4143" w:type="dxa"/>
            <w:shd w:val="clear" w:color="auto" w:fill="auto"/>
            <w:vAlign w:val="center"/>
            <w:hideMark/>
          </w:tcPr>
          <w:p w14:paraId="274830D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Phage baseplate assembly protein W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17873C72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53C71A10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7489C7BD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64C09E03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K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4C7AB8C6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COG1396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1B0F5C0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Transcriptional regulator, contains XRE-family HTH domain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374B0337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2DFD0FC9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183FC3C9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6146C60B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R\X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73286D88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COG4228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70FEFCEE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Mu-like prophage DNA circulation protein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013A207D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-</w:t>
            </w:r>
          </w:p>
        </w:tc>
      </w:tr>
      <w:tr w:rsidR="00440382" w:rsidRPr="00E9663C" w14:paraId="65A15081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60536A96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7B2CD64A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KT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0225DCA8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COG1974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018ED19B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SOS-response transcriptional repressor LexA (RecA-mediated autopeptidase)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5F0BE01B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681826A1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789A56C0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53FF078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79D1732D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COG0778</w:t>
            </w:r>
          </w:p>
        </w:tc>
        <w:tc>
          <w:tcPr>
            <w:tcW w:w="4143" w:type="dxa"/>
            <w:shd w:val="clear" w:color="auto" w:fill="auto"/>
            <w:vAlign w:val="center"/>
            <w:hideMark/>
          </w:tcPr>
          <w:p w14:paraId="733C8612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Nitroreductase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73F06323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6508A8DD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018EE481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61E0DF8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S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0AED61B9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COG4925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4FCA9CF2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Uncharacterized protein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2AF3C63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-</w:t>
            </w:r>
          </w:p>
        </w:tc>
      </w:tr>
      <w:tr w:rsidR="00440382" w:rsidRPr="00E9663C" w14:paraId="1CD189DB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1843018D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5D9F3AD7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I\M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40A121E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COG1835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009F3015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Peptidoglycan/LPS O-acetylase OafA/YrhL, contains acyltransferase and SGNH-hydrolase domains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760444D5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5AC68380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2DA259E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48607186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K\KX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36F003C3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COG3311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30CD20C3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Predicted DNA-binding transcriptional regulator AlpA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486EB946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768BF8E9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0CAFB3D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4B943AD7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R\X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10A2393A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COG5525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3A7A27D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Phage terminase, large subunit GpA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7B57E8D4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-</w:t>
            </w:r>
          </w:p>
        </w:tc>
      </w:tr>
      <w:tr w:rsidR="00440382" w:rsidRPr="00E9663C" w14:paraId="474B906E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72D8F20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07CB2D8D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S\X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189F36B1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COG4384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2F01EE2E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Mu-like prophage protein gp45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781B384B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-</w:t>
            </w:r>
          </w:p>
        </w:tc>
      </w:tr>
      <w:tr w:rsidR="00440382" w:rsidRPr="00E9663C" w14:paraId="1FAD7237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38F0971D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00E2147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L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7C390142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COG4570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31F238DD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Holliday junction resolvase RusA (prophage-encoded endonuclease)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347C4D47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-</w:t>
            </w:r>
          </w:p>
        </w:tc>
      </w:tr>
      <w:tr w:rsidR="00440382" w:rsidRPr="00E9663C" w14:paraId="1088F4F5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5C035E27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083FE486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R\X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162EA0CE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COG5004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15DBB430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P2-like prophage tail protein X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289C5581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08D24394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712A0C3B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75241A3B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S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050F51BB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COG4381</w:t>
            </w:r>
          </w:p>
        </w:tc>
        <w:tc>
          <w:tcPr>
            <w:tcW w:w="4143" w:type="dxa"/>
            <w:shd w:val="clear" w:color="auto" w:fill="auto"/>
            <w:vAlign w:val="center"/>
            <w:hideMark/>
          </w:tcPr>
          <w:p w14:paraId="37BF35F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Mu-like prophage protein gp46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3D8740EB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-</w:t>
            </w:r>
          </w:p>
        </w:tc>
      </w:tr>
      <w:tr w:rsidR="00440382" w:rsidRPr="00E9663C" w14:paraId="22A91A48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05772DD5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lastRenderedPageBreak/>
              <w:t>RNS 05.1.2A</w:t>
            </w:r>
          </w:p>
        </w:tc>
        <w:tc>
          <w:tcPr>
            <w:tcW w:w="1176" w:type="dxa"/>
            <w:vAlign w:val="center"/>
          </w:tcPr>
          <w:p w14:paraId="4825E62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K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70FBFCC0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COG1309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0E1C38A1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DNA-binding transcriptional regulator, AcrR family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6BB53B19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5D3C7422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4C61FAB9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65DC5862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JD\V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513784E3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COG2026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59F1D7C6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mRNA-degrading endonuclease RelE, toxin component of the RelBE toxin-antitoxin system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2DEFA292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-</w:t>
            </w:r>
          </w:p>
        </w:tc>
      </w:tr>
      <w:tr w:rsidR="00440382" w:rsidRPr="00E9663C" w14:paraId="7873C8C2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734025E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7EFBCC50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T\J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1CDA0363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COG1734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72C0BD36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RNA polymerase-binding transcription factor DksA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6727AF0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022B988F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0CE9B36A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7C94A393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L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6D5435D6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COG0338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52A24143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Site-specific DNA-adenine methylase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35AE7E2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4A2F2181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5D88645D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547F2964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L\X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2D63B77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COG2801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658358A1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Transposase InsO and inactivated derivatives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7AEBFBFD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785F7748" w14:textId="77777777" w:rsidTr="000D4592">
        <w:trPr>
          <w:trHeight w:val="945"/>
          <w:jc w:val="center"/>
        </w:trPr>
        <w:tc>
          <w:tcPr>
            <w:tcW w:w="1070" w:type="dxa"/>
            <w:vAlign w:val="center"/>
          </w:tcPr>
          <w:p w14:paraId="0D2530CD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66CDE144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G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0347E1C5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COG1440</w:t>
            </w:r>
          </w:p>
        </w:tc>
        <w:tc>
          <w:tcPr>
            <w:tcW w:w="4143" w:type="dxa"/>
            <w:shd w:val="clear" w:color="auto" w:fill="auto"/>
            <w:vAlign w:val="center"/>
            <w:hideMark/>
          </w:tcPr>
          <w:p w14:paraId="77AD03E7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Phosphotransferase system cellobiose-specific component IIB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437B9DB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1D5D5260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01700FA1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43143A60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R\T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7A105921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COG3550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60382DA3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Serine/threonine protein kinase HipA, toxin component of the HipAB toxin-antitoxin module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663BC0B8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3EEB231A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202DE633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1BE4E448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EH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37166903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COG0175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71C75D2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3'-phosphoadenosine 5'-phosphosulfate sulfotransferase (PAPS reductase)/FAD synthetase or related enzyme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084E4CF6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50E85542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5DAE7CF4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09FC74A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K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35152176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COG1396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06B17513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Transcriptional regulator, contains XRE-family HTH domain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60E51F22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362A9C58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7C1BB31E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4DB3868D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L\X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7B3DA46A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COG3747</w:t>
            </w:r>
          </w:p>
        </w:tc>
        <w:tc>
          <w:tcPr>
            <w:tcW w:w="4143" w:type="dxa"/>
            <w:shd w:val="clear" w:color="auto" w:fill="auto"/>
            <w:vAlign w:val="center"/>
            <w:hideMark/>
          </w:tcPr>
          <w:p w14:paraId="06D96482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Phage terminase, small subunit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5CF17537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-</w:t>
            </w:r>
          </w:p>
        </w:tc>
      </w:tr>
      <w:tr w:rsidR="00440382" w:rsidRPr="00E9663C" w14:paraId="680FDC03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1BBC9BE3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2DB5049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L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147F013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COG0863</w:t>
            </w:r>
          </w:p>
        </w:tc>
        <w:tc>
          <w:tcPr>
            <w:tcW w:w="4143" w:type="dxa"/>
            <w:shd w:val="clear" w:color="auto" w:fill="auto"/>
            <w:vAlign w:val="center"/>
            <w:hideMark/>
          </w:tcPr>
          <w:p w14:paraId="675F1A7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DNA modification methylase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4687F005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-</w:t>
            </w:r>
          </w:p>
        </w:tc>
      </w:tr>
      <w:tr w:rsidR="00440382" w:rsidRPr="00E9663C" w14:paraId="06A36942" w14:textId="77777777" w:rsidTr="000D4592">
        <w:trPr>
          <w:trHeight w:val="630"/>
          <w:jc w:val="center"/>
        </w:trPr>
        <w:tc>
          <w:tcPr>
            <w:tcW w:w="1070" w:type="dxa"/>
            <w:vAlign w:val="center"/>
          </w:tcPr>
          <w:p w14:paraId="43784405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77D640FD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TK\J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71882D8E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COG4725</w:t>
            </w:r>
          </w:p>
        </w:tc>
        <w:tc>
          <w:tcPr>
            <w:tcW w:w="4143" w:type="dxa"/>
            <w:shd w:val="clear" w:color="auto" w:fill="auto"/>
            <w:vAlign w:val="center"/>
            <w:hideMark/>
          </w:tcPr>
          <w:p w14:paraId="1048A656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N6-adenosine-specific RNA methylase IME4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4E21ED8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-</w:t>
            </w:r>
          </w:p>
        </w:tc>
      </w:tr>
      <w:tr w:rsidR="00440382" w:rsidRPr="00E9663C" w14:paraId="27AE5499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4609C871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005B6B20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R\X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4E295675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COG5614</w:t>
            </w:r>
          </w:p>
        </w:tc>
        <w:tc>
          <w:tcPr>
            <w:tcW w:w="4143" w:type="dxa"/>
            <w:shd w:val="clear" w:color="auto" w:fill="auto"/>
            <w:vAlign w:val="center"/>
            <w:hideMark/>
          </w:tcPr>
          <w:p w14:paraId="22E6AA50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Bacteriophage head-tail adaptor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06207ED5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-</w:t>
            </w:r>
          </w:p>
        </w:tc>
      </w:tr>
      <w:tr w:rsidR="00440382" w:rsidRPr="00E9663C" w14:paraId="5302AFDB" w14:textId="77777777" w:rsidTr="000D4592">
        <w:trPr>
          <w:trHeight w:val="630"/>
          <w:jc w:val="center"/>
        </w:trPr>
        <w:tc>
          <w:tcPr>
            <w:tcW w:w="1070" w:type="dxa"/>
            <w:vAlign w:val="center"/>
          </w:tcPr>
          <w:p w14:paraId="65F0334B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4AECA98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U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74314FE0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COG3846</w:t>
            </w:r>
          </w:p>
        </w:tc>
        <w:tc>
          <w:tcPr>
            <w:tcW w:w="4143" w:type="dxa"/>
            <w:shd w:val="clear" w:color="auto" w:fill="auto"/>
            <w:vAlign w:val="center"/>
            <w:hideMark/>
          </w:tcPr>
          <w:p w14:paraId="22D2336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Type IV secretory pathway, TrbL components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750B7133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4BB17F59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292147FD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7CD3902B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L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5B4ECAF7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COG0419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78CD3D9E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DNA repair exonuclease SbcCD ATPase subunit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74C1D912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32147BD0" w14:textId="77777777" w:rsidTr="000D4592">
        <w:trPr>
          <w:trHeight w:val="630"/>
          <w:jc w:val="center"/>
        </w:trPr>
        <w:tc>
          <w:tcPr>
            <w:tcW w:w="1070" w:type="dxa"/>
            <w:vAlign w:val="center"/>
          </w:tcPr>
          <w:p w14:paraId="736F6440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1365F32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L\X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492EA5A4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COG2801</w:t>
            </w:r>
          </w:p>
        </w:tc>
        <w:tc>
          <w:tcPr>
            <w:tcW w:w="4143" w:type="dxa"/>
            <w:shd w:val="clear" w:color="auto" w:fill="auto"/>
            <w:vAlign w:val="center"/>
            <w:hideMark/>
          </w:tcPr>
          <w:p w14:paraId="1D95696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Transposase InsO and inactivated derivatives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07FA8D89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563061FF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56DEB97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397F1C4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S\FT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5C6D5D4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COG2357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6AA18766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ppGpp synthetase catalytic domain (RelA/SpoT-type nucleotidyltranferase)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51D43CE1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4E40B4D0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192C60C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568AB1A0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L\LX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21CD2B75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COG0582</w:t>
            </w:r>
          </w:p>
        </w:tc>
        <w:tc>
          <w:tcPr>
            <w:tcW w:w="4143" w:type="dxa"/>
            <w:shd w:val="clear" w:color="auto" w:fill="auto"/>
            <w:vAlign w:val="center"/>
            <w:hideMark/>
          </w:tcPr>
          <w:p w14:paraId="5708E34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Integrase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0B04B281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3D5D6023" w14:textId="77777777" w:rsidTr="000D4592">
        <w:trPr>
          <w:trHeight w:val="315"/>
          <w:jc w:val="center"/>
        </w:trPr>
        <w:tc>
          <w:tcPr>
            <w:tcW w:w="1070" w:type="dxa"/>
            <w:vAlign w:val="center"/>
          </w:tcPr>
          <w:p w14:paraId="23656103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03477494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R\T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675005FD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COG1073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0402ABE9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Fermentation-respiration switch protein FrsA, has esterase activity, DUF1100 family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7589AA76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4C405301" w14:textId="77777777" w:rsidTr="000D4592">
        <w:trPr>
          <w:trHeight w:val="568"/>
          <w:jc w:val="center"/>
        </w:trPr>
        <w:tc>
          <w:tcPr>
            <w:tcW w:w="1070" w:type="dxa"/>
            <w:vAlign w:val="center"/>
          </w:tcPr>
          <w:p w14:paraId="423DEE83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5CF40296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R\X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18141D05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COG3499</w:t>
            </w:r>
          </w:p>
        </w:tc>
        <w:tc>
          <w:tcPr>
            <w:tcW w:w="4143" w:type="dxa"/>
            <w:shd w:val="clear" w:color="auto" w:fill="auto"/>
            <w:vAlign w:val="center"/>
            <w:hideMark/>
          </w:tcPr>
          <w:p w14:paraId="56AA0B34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Phage protein U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547CA12E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171B595D" w14:textId="77777777" w:rsidTr="000D4592">
        <w:trPr>
          <w:trHeight w:val="721"/>
          <w:jc w:val="center"/>
        </w:trPr>
        <w:tc>
          <w:tcPr>
            <w:tcW w:w="1070" w:type="dxa"/>
            <w:vAlign w:val="center"/>
          </w:tcPr>
          <w:p w14:paraId="5ABD196A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lastRenderedPageBreak/>
              <w:t>RNS 05.1.2A</w:t>
            </w:r>
          </w:p>
        </w:tc>
        <w:tc>
          <w:tcPr>
            <w:tcW w:w="1176" w:type="dxa"/>
            <w:vAlign w:val="center"/>
          </w:tcPr>
          <w:p w14:paraId="2384DF5C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K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3B799CD2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COG1396</w:t>
            </w:r>
          </w:p>
        </w:tc>
        <w:tc>
          <w:tcPr>
            <w:tcW w:w="4143" w:type="dxa"/>
            <w:shd w:val="clear" w:color="auto" w:fill="auto"/>
            <w:noWrap/>
            <w:vAlign w:val="center"/>
            <w:hideMark/>
          </w:tcPr>
          <w:p w14:paraId="4381FA4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Transcriptional regulator, contains XRE-family HTH domain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6C6C7041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  <w:tr w:rsidR="00440382" w:rsidRPr="00E9663C" w14:paraId="1FFB2D4E" w14:textId="77777777" w:rsidTr="000D4592">
        <w:trPr>
          <w:trHeight w:val="630"/>
          <w:jc w:val="center"/>
        </w:trPr>
        <w:tc>
          <w:tcPr>
            <w:tcW w:w="1070" w:type="dxa"/>
            <w:vAlign w:val="center"/>
          </w:tcPr>
          <w:p w14:paraId="0F40000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RNS 05.1.2A</w:t>
            </w:r>
          </w:p>
        </w:tc>
        <w:tc>
          <w:tcPr>
            <w:tcW w:w="1176" w:type="dxa"/>
            <w:vAlign w:val="center"/>
          </w:tcPr>
          <w:p w14:paraId="254EE690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M</w:t>
            </w:r>
          </w:p>
        </w:tc>
        <w:tc>
          <w:tcPr>
            <w:tcW w:w="1254" w:type="dxa"/>
            <w:shd w:val="clear" w:color="auto" w:fill="auto"/>
            <w:noWrap/>
            <w:vAlign w:val="center"/>
            <w:hideMark/>
          </w:tcPr>
          <w:p w14:paraId="5EEFF51B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COG2951</w:t>
            </w:r>
          </w:p>
        </w:tc>
        <w:tc>
          <w:tcPr>
            <w:tcW w:w="4143" w:type="dxa"/>
            <w:shd w:val="clear" w:color="auto" w:fill="auto"/>
            <w:vAlign w:val="center"/>
            <w:hideMark/>
          </w:tcPr>
          <w:p w14:paraId="369B01FF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Membrane-bound lytic murein transglycosylase B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14:paraId="73A870C5" w14:textId="77777777" w:rsidR="00440382" w:rsidRPr="00E9663C" w:rsidRDefault="00440382" w:rsidP="000D45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9663C">
              <w:rPr>
                <w:rFonts w:ascii="Times New Roman" w:hAnsi="Times New Roman"/>
                <w:sz w:val="24"/>
                <w:szCs w:val="24"/>
                <w:lang w:val="en-GB"/>
              </w:rPr>
              <w:t>+</w:t>
            </w:r>
          </w:p>
        </w:tc>
      </w:tr>
    </w:tbl>
    <w:p w14:paraId="0205C702" w14:textId="5DBF7B41" w:rsidR="00CF419F" w:rsidRDefault="006128F1"/>
    <w:p w14:paraId="15E8628E" w14:textId="0F199152" w:rsidR="006128F1" w:rsidRDefault="006128F1"/>
    <w:p w14:paraId="56E5785F" w14:textId="77777777" w:rsidR="006128F1" w:rsidRDefault="006128F1" w:rsidP="006128F1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Supplementary Table 4</w:t>
      </w:r>
      <w:r w:rsidRPr="00773147">
        <w:rPr>
          <w:rFonts w:ascii="Times New Roman" w:hAnsi="Times New Roman"/>
          <w:b/>
          <w:sz w:val="24"/>
          <w:szCs w:val="24"/>
        </w:rPr>
        <w:t xml:space="preserve">. </w:t>
      </w:r>
    </w:p>
    <w:p w14:paraId="041E0731" w14:textId="77777777" w:rsidR="006128F1" w:rsidRPr="002C25E7" w:rsidRDefault="006128F1" w:rsidP="006128F1">
      <w:pPr>
        <w:spacing w:after="0"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2C25E7">
        <w:rPr>
          <w:rFonts w:ascii="Times New Roman" w:hAnsi="Times New Roman"/>
          <w:b/>
          <w:bCs/>
          <w:sz w:val="24"/>
          <w:szCs w:val="24"/>
          <w:lang w:val="en-GB"/>
        </w:rPr>
        <w:t xml:space="preserve">The functions of the unique </w:t>
      </w:r>
      <w:r w:rsidRPr="002C25E7">
        <w:rPr>
          <w:rFonts w:ascii="Times New Roman" w:hAnsi="Times New Roman"/>
          <w:b/>
          <w:bCs/>
          <w:i/>
          <w:sz w:val="24"/>
          <w:szCs w:val="24"/>
        </w:rPr>
        <w:t>D</w:t>
      </w:r>
      <w:r>
        <w:rPr>
          <w:rFonts w:ascii="Times New Roman" w:hAnsi="Times New Roman"/>
          <w:b/>
          <w:bCs/>
          <w:i/>
          <w:sz w:val="24"/>
          <w:szCs w:val="24"/>
        </w:rPr>
        <w:t>ickeya</w:t>
      </w:r>
      <w:r w:rsidRPr="002C25E7">
        <w:rPr>
          <w:rFonts w:ascii="Times New Roman" w:hAnsi="Times New Roman"/>
          <w:b/>
          <w:bCs/>
          <w:i/>
          <w:sz w:val="24"/>
          <w:szCs w:val="24"/>
          <w:lang w:val="en-GB"/>
        </w:rPr>
        <w:t xml:space="preserve"> solani </w:t>
      </w:r>
      <w:r w:rsidRPr="002C25E7">
        <w:rPr>
          <w:rFonts w:ascii="Times New Roman" w:hAnsi="Times New Roman"/>
          <w:b/>
          <w:bCs/>
          <w:sz w:val="24"/>
          <w:szCs w:val="24"/>
          <w:lang w:val="en-GB"/>
        </w:rPr>
        <w:t>COGs.</w:t>
      </w:r>
    </w:p>
    <w:p w14:paraId="0F06941B" w14:textId="77777777" w:rsidR="006128F1" w:rsidRPr="002C25E7" w:rsidRDefault="006128F1" w:rsidP="006128F1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 w:rsidRPr="00773147">
        <w:rPr>
          <w:rFonts w:ascii="Times New Roman" w:hAnsi="Times New Roman"/>
          <w:sz w:val="24"/>
          <w:szCs w:val="24"/>
        </w:rPr>
        <w:t>Description of data:</w:t>
      </w:r>
      <w:r>
        <w:rPr>
          <w:rFonts w:ascii="Times New Roman" w:hAnsi="Times New Roman"/>
          <w:sz w:val="24"/>
          <w:szCs w:val="24"/>
        </w:rPr>
        <w:t xml:space="preserve"> </w:t>
      </w:r>
      <w:r w:rsidRPr="00E172BD">
        <w:rPr>
          <w:rFonts w:ascii="Times New Roman" w:hAnsi="Times New Roman"/>
          <w:sz w:val="24"/>
          <w:szCs w:val="24"/>
          <w:vertAlign w:val="superscript"/>
        </w:rPr>
        <w:t xml:space="preserve">a </w:t>
      </w:r>
      <w:r w:rsidRPr="00E172BD">
        <w:rPr>
          <w:rFonts w:ascii="Times New Roman" w:hAnsi="Times New Roman"/>
          <w:sz w:val="24"/>
          <w:szCs w:val="24"/>
        </w:rPr>
        <w:t xml:space="preserve">The first category was attributed by the BPGA software. If it differed from the category currently allocated to certain COG IDs in the COG database, the up-to-date assignment after the slash mark is depicted. COG categories: A - RNA processing and modification, B - chromatin structure and dynamics, C - energy production and conversion, D - cell cycle control, cell division, chromosome partitioning, E - amino acid transport and metabolism, F - nucleotide transport and metabolism, G - carbohydrate transport and metabolism, H - coenzyme transport and metabolism, I - lipid transport and metabolism, J - translation, ribosomal structure and biogenesis, K - transcription, L - replication, recombination and repair, M - cell wall/membrane/envelope biogenesis, N - cell motility, O - post-translational modification, protein turnover and chaperones, P - inorganic ion transport and metabolism, Q - secondary metabolites biosynthesis, transport and catabolism, R - general function prediction only, S - function unknown, T - signal transduction mechanisms, U - intracellular trafficking, secretion and vesicular transport, V - defense mechanisms, W - extracellular structures, X - mobilome: prophages, transposons, Y - nuclear structure and Z </w:t>
      </w:r>
      <w:r>
        <w:rPr>
          <w:rFonts w:ascii="Times New Roman" w:hAnsi="Times New Roman"/>
          <w:sz w:val="24"/>
          <w:szCs w:val="24"/>
        </w:rPr>
        <w:t>–</w:t>
      </w:r>
      <w:r w:rsidRPr="00E172BD">
        <w:rPr>
          <w:rFonts w:ascii="Times New Roman" w:hAnsi="Times New Roman"/>
          <w:sz w:val="24"/>
          <w:szCs w:val="24"/>
        </w:rPr>
        <w:t xml:space="preserve"> cytoskelet</w:t>
      </w:r>
      <w:r>
        <w:rPr>
          <w:rFonts w:ascii="Times New Roman" w:hAnsi="Times New Roman"/>
          <w:sz w:val="24"/>
          <w:szCs w:val="24"/>
        </w:rPr>
        <w:t>on.</w:t>
      </w:r>
    </w:p>
    <w:p w14:paraId="62E89EF3" w14:textId="77777777" w:rsidR="006128F1" w:rsidRDefault="006128F1">
      <w:bookmarkStart w:id="0" w:name="_GoBack"/>
      <w:bookmarkEnd w:id="0"/>
    </w:p>
    <w:sectPr w:rsidR="006128F1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57D7"/>
    <w:rsid w:val="004357D7"/>
    <w:rsid w:val="00440382"/>
    <w:rsid w:val="006128F1"/>
    <w:rsid w:val="00737543"/>
    <w:rsid w:val="009A29CC"/>
    <w:rsid w:val="009B5354"/>
    <w:rsid w:val="00EF1B67"/>
    <w:rsid w:val="00F3074E"/>
    <w:rsid w:val="00FD6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539D52"/>
  <w15:chartTrackingRefBased/>
  <w15:docId w15:val="{FFF0BB90-2A8D-4416-B5F3-528FBAE03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038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1523</Words>
  <Characters>8682</Characters>
  <Application>Microsoft Office Word</Application>
  <DocSecurity>0</DocSecurity>
  <Lines>72</Lines>
  <Paragraphs>20</Paragraphs>
  <ScaleCrop>false</ScaleCrop>
  <Company/>
  <LinksUpToDate>false</LinksUpToDate>
  <CharactersWithSpaces>10185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ACS Combinatorial Science EIC</cp:lastModifiedBy>
  <cp:revision>3</cp:revision>
  <dcterms:created xsi:type="dcterms:W3CDTF">2020-03-01T08:55:00Z</dcterms:created>
  <dcterms:modified xsi:type="dcterms:W3CDTF">2020-04-03T14:51:00Z</dcterms:modified>
</cp:coreProperties>
</file>